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C78A" w14:textId="77777777" w:rsidR="00440D87" w:rsidRPr="00440D87" w:rsidRDefault="00440D87" w:rsidP="00440D87">
      <w:pPr>
        <w:shd w:val="clear" w:color="auto" w:fill="FFFFFF"/>
        <w:spacing w:after="0" w:line="240" w:lineRule="auto"/>
        <w:jc w:val="center"/>
        <w:rPr>
          <w:rFonts w:ascii="Tahoma" w:eastAsia="Times New Roman" w:hAnsi="Tahoma" w:cs="Tahoma"/>
          <w:color w:val="000000"/>
          <w:lang w:eastAsia="es-ES"/>
        </w:rPr>
      </w:pPr>
      <w:r w:rsidRPr="00440D87">
        <w:rPr>
          <w:rFonts w:ascii="Tahoma" w:eastAsia="Times New Roman" w:hAnsi="Tahoma" w:cs="Tahoma"/>
          <w:color w:val="663300"/>
          <w:sz w:val="36"/>
          <w:szCs w:val="36"/>
          <w:lang w:eastAsia="es-ES"/>
        </w:rPr>
        <w:t>Mensaje del Santo Padre para la V Jornada Mundial de los Abuelos y de los Ancianos (27 de julio de 2025), 10.07.2025</w:t>
      </w:r>
    </w:p>
    <w:p w14:paraId="0D3FE7BB" w14:textId="77777777" w:rsidR="00440D87" w:rsidRPr="00440D87" w:rsidRDefault="00440D87" w:rsidP="00440D87">
      <w:pPr>
        <w:spacing w:after="0" w:line="240" w:lineRule="auto"/>
        <w:rPr>
          <w:rFonts w:ascii="Times New Roman" w:eastAsia="Times New Roman" w:hAnsi="Times New Roman" w:cs="Times New Roman"/>
          <w:sz w:val="24"/>
          <w:szCs w:val="24"/>
          <w:lang w:eastAsia="es-ES"/>
        </w:rPr>
      </w:pPr>
    </w:p>
    <w:p w14:paraId="67A9A84E"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Publicamos a continuación el texto del Mensaje del Santo Padre León XIV para la V Jornada Mundial de los Abuelos y de los Ancianos, que se celebra el cuarto domingo de julio —este año, el 27 de julio—, sobre el tema «Feliz el que no ve desvanecerse su esperanza»:</w:t>
      </w:r>
    </w:p>
    <w:p w14:paraId="72AA9B17"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b/>
          <w:bCs/>
          <w:i/>
          <w:iCs/>
          <w:color w:val="000000"/>
          <w:u w:val="single"/>
          <w:lang w:eastAsia="es-ES"/>
        </w:rPr>
        <w:t>Mensaje del Santo Padre</w:t>
      </w:r>
    </w:p>
    <w:p w14:paraId="160CAAA2" w14:textId="77777777" w:rsidR="00440D87" w:rsidRPr="00440D87" w:rsidRDefault="00440D87" w:rsidP="00440D87">
      <w:pPr>
        <w:shd w:val="clear" w:color="auto" w:fill="FFFFFF"/>
        <w:spacing w:before="100" w:beforeAutospacing="1" w:after="100" w:afterAutospacing="1" w:line="240" w:lineRule="auto"/>
        <w:jc w:val="center"/>
        <w:rPr>
          <w:rFonts w:ascii="Tahoma" w:eastAsia="Times New Roman" w:hAnsi="Tahoma" w:cs="Tahoma"/>
          <w:color w:val="000000"/>
          <w:lang w:eastAsia="es-ES"/>
        </w:rPr>
      </w:pPr>
      <w:r w:rsidRPr="00440D87">
        <w:rPr>
          <w:rFonts w:ascii="Tahoma" w:eastAsia="Times New Roman" w:hAnsi="Tahoma" w:cs="Tahoma"/>
          <w:b/>
          <w:bCs/>
          <w:i/>
          <w:iCs/>
          <w:color w:val="000000"/>
          <w:lang w:eastAsia="es-ES"/>
        </w:rPr>
        <w:t>Feliz el que no ve desvanecerse su esperanza (cf. Si 14,2)</w:t>
      </w:r>
    </w:p>
    <w:p w14:paraId="7EFAC444"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Queridos hermanos y hermanas:</w:t>
      </w:r>
    </w:p>
    <w:p w14:paraId="7548667A"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El </w:t>
      </w:r>
      <w:hyperlink r:id="rId4" w:history="1">
        <w:r w:rsidRPr="00440D87">
          <w:rPr>
            <w:rFonts w:ascii="Tahoma" w:eastAsia="Times New Roman" w:hAnsi="Tahoma" w:cs="Tahoma"/>
            <w:color w:val="663300"/>
            <w:u w:val="single"/>
            <w:lang w:eastAsia="es-ES"/>
          </w:rPr>
          <w:t>Jubileo</w:t>
        </w:r>
      </w:hyperlink>
      <w:r w:rsidRPr="00440D87">
        <w:rPr>
          <w:rFonts w:ascii="Tahoma" w:eastAsia="Times New Roman" w:hAnsi="Tahoma" w:cs="Tahoma"/>
          <w:color w:val="000000"/>
          <w:lang w:eastAsia="es-ES"/>
        </w:rPr>
        <w:t> que estamos viviendo nos ayuda a descubrir que la esperanza siempre es fuente de alegría, a cualquier edad. Asimismo, cuando esta ha sido templada por el fuego de una larga existencia, se vuelve fuente de una bienaventuranza plena.</w:t>
      </w:r>
    </w:p>
    <w:p w14:paraId="7590473C"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La Sagrada Escritura presenta varios casos de hombres y mujeres ya avanzados en años, a los que el Señor invita a participar en sus designios de salvación. Pensemos en Abraham y Sara; siendo ya ancianos, permanecen incrédulos ante la palabra de Dios, que les promete un hijo. La imposibilidad de generar parecía haberles quitado su mirada de esperanza respecto al futuro.</w:t>
      </w:r>
    </w:p>
    <w:p w14:paraId="3B09BECF"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La reacción de Zacarías ante el anuncio del nacimiento de Juan el Bautista no es diferente: «¿Cómo puedo estar seguro de esto? Porque yo soy anciano y mi esposa es de edad avanzada» (</w:t>
      </w:r>
      <w:proofErr w:type="spellStart"/>
      <w:r w:rsidRPr="00440D87">
        <w:rPr>
          <w:rFonts w:ascii="Tahoma" w:eastAsia="Times New Roman" w:hAnsi="Tahoma" w:cs="Tahoma"/>
          <w:i/>
          <w:iCs/>
          <w:color w:val="000000"/>
          <w:lang w:eastAsia="es-ES"/>
        </w:rPr>
        <w:t>Lc</w:t>
      </w:r>
      <w:proofErr w:type="spellEnd"/>
      <w:r w:rsidRPr="00440D87">
        <w:rPr>
          <w:rFonts w:ascii="Tahoma" w:eastAsia="Times New Roman" w:hAnsi="Tahoma" w:cs="Tahoma"/>
          <w:color w:val="000000"/>
          <w:lang w:eastAsia="es-ES"/>
        </w:rPr>
        <w:t> 1,18). La ancianidad, la esterilidad y el deterioro parecen apagar las esperanzas de vida y de fecundidad de todos estos hombres y mujeres. También la pregunta que Nicodemo hace a Jesús, cuando el Maestro le habla de un “nuevo nacimiento”, parece puramente retórica: «¿Cómo un hombre puede nacer cuando ya es viejo? ¿Acaso puede entrar por segunda vez en el seno de su madre y volver a nacer?» (</w:t>
      </w:r>
      <w:proofErr w:type="spellStart"/>
      <w:r w:rsidRPr="00440D87">
        <w:rPr>
          <w:rFonts w:ascii="Tahoma" w:eastAsia="Times New Roman" w:hAnsi="Tahoma" w:cs="Tahoma"/>
          <w:i/>
          <w:iCs/>
          <w:color w:val="000000"/>
          <w:lang w:eastAsia="es-ES"/>
        </w:rPr>
        <w:t>Jn</w:t>
      </w:r>
      <w:proofErr w:type="spellEnd"/>
      <w:r w:rsidRPr="00440D87">
        <w:rPr>
          <w:rFonts w:ascii="Tahoma" w:eastAsia="Times New Roman" w:hAnsi="Tahoma" w:cs="Tahoma"/>
          <w:color w:val="000000"/>
          <w:lang w:eastAsia="es-ES"/>
        </w:rPr>
        <w:t> 3,4). Sin embargo, en cada ocasión, frente a una respuesta aparentemente obvia, el Señor sorprende a sus interlocutores con un acto de salvación.</w:t>
      </w:r>
    </w:p>
    <w:p w14:paraId="7FE9E855"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i/>
          <w:iCs/>
          <w:color w:val="000000"/>
          <w:lang w:eastAsia="es-ES"/>
        </w:rPr>
        <w:t>Los ancianos, signos de esperanza</w:t>
      </w:r>
    </w:p>
    <w:p w14:paraId="4B82FC9D"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 xml:space="preserve">En la Biblia, Dios muestra muchas veces su providencia dirigiéndose a personas avanzadas en años. Así ocurre no sólo con </w:t>
      </w:r>
      <w:proofErr w:type="spellStart"/>
      <w:r w:rsidRPr="00440D87">
        <w:rPr>
          <w:rFonts w:ascii="Tahoma" w:eastAsia="Times New Roman" w:hAnsi="Tahoma" w:cs="Tahoma"/>
          <w:color w:val="000000"/>
          <w:lang w:eastAsia="es-ES"/>
        </w:rPr>
        <w:t>Abrahám</w:t>
      </w:r>
      <w:proofErr w:type="spellEnd"/>
      <w:r w:rsidRPr="00440D87">
        <w:rPr>
          <w:rFonts w:ascii="Tahoma" w:eastAsia="Times New Roman" w:hAnsi="Tahoma" w:cs="Tahoma"/>
          <w:color w:val="000000"/>
          <w:lang w:eastAsia="es-ES"/>
        </w:rPr>
        <w:t>, Sara, Zacarías e Isabel, sino también con Moisés, llamado a liberar a su pueblo siendo octogenario (cf. </w:t>
      </w:r>
      <w:r w:rsidRPr="00440D87">
        <w:rPr>
          <w:rFonts w:ascii="Tahoma" w:eastAsia="Times New Roman" w:hAnsi="Tahoma" w:cs="Tahoma"/>
          <w:i/>
          <w:iCs/>
          <w:color w:val="000000"/>
          <w:lang w:eastAsia="es-ES"/>
        </w:rPr>
        <w:t>Ex</w:t>
      </w:r>
      <w:r w:rsidRPr="00440D87">
        <w:rPr>
          <w:rFonts w:ascii="Tahoma" w:eastAsia="Times New Roman" w:hAnsi="Tahoma" w:cs="Tahoma"/>
          <w:color w:val="000000"/>
          <w:lang w:eastAsia="es-ES"/>
        </w:rPr>
        <w:t> 7,7). Con estas elecciones, Dios nos enseña que, a sus ojos, la ancianidad es un tiempo de bendición y de gracia, y que para Él </w:t>
      </w:r>
      <w:r w:rsidRPr="00440D87">
        <w:rPr>
          <w:rFonts w:ascii="Tahoma" w:eastAsia="Times New Roman" w:hAnsi="Tahoma" w:cs="Tahoma"/>
          <w:i/>
          <w:iCs/>
          <w:color w:val="000000"/>
          <w:lang w:eastAsia="es-ES"/>
        </w:rPr>
        <w:t>los ancianos son los primeros testigos de esperanza</w:t>
      </w:r>
      <w:r w:rsidRPr="00440D87">
        <w:rPr>
          <w:rFonts w:ascii="Tahoma" w:eastAsia="Times New Roman" w:hAnsi="Tahoma" w:cs="Tahoma"/>
          <w:color w:val="000000"/>
          <w:lang w:eastAsia="es-ES"/>
        </w:rPr>
        <w:t>. «¿Qué significa en mi vejez? —se pregunta al respecto san Agustín— Cuando me falten las fuerzas, no me abandones. Y aquí Dios te responde: Al contrario, que desfallezca tu vigor, para que esté presente el mío en ti, y así puedas decir con el Apóstol: “Cuando me debilito, entonces soy fuerte”» (</w:t>
      </w:r>
      <w:r w:rsidRPr="00440D87">
        <w:rPr>
          <w:rFonts w:ascii="Tahoma" w:eastAsia="Times New Roman" w:hAnsi="Tahoma" w:cs="Tahoma"/>
          <w:i/>
          <w:iCs/>
          <w:color w:val="000000"/>
          <w:lang w:eastAsia="es-ES"/>
        </w:rPr>
        <w:t>Comentarios a los Salmos</w:t>
      </w:r>
      <w:r w:rsidRPr="00440D87">
        <w:rPr>
          <w:rFonts w:ascii="Tahoma" w:eastAsia="Times New Roman" w:hAnsi="Tahoma" w:cs="Tahoma"/>
          <w:color w:val="000000"/>
          <w:lang w:eastAsia="es-ES"/>
        </w:rPr>
        <w:t xml:space="preserve"> 70, 11). El hecho de que el número de personas en edad avanzada esté en aumento se </w:t>
      </w:r>
      <w:r w:rsidRPr="00440D87">
        <w:rPr>
          <w:rFonts w:ascii="Tahoma" w:eastAsia="Times New Roman" w:hAnsi="Tahoma" w:cs="Tahoma"/>
          <w:color w:val="000000"/>
          <w:lang w:eastAsia="es-ES"/>
        </w:rPr>
        <w:lastRenderedPageBreak/>
        <w:t>convierte entonces para nosotros en un signo de los tiempos que estamos llamados a discernir, para leer correctamente la historia que vivimos.</w:t>
      </w:r>
    </w:p>
    <w:p w14:paraId="7B21F710"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La vida de la Iglesia y del mundo, en efecto, sólo se comprende en la sucesión de las generaciones, y abrazar a un anciano nos ayuda a comprender que la historia no se agota en el presente, ni se consuma entre encuentros fugaces y relaciones fragmentarias, sino que se abre paso hacia el futuro. En el libro del Génesis encontramos el conmovedor episodio de la bendición dada por Jacob, ya anciano, a sus nietos, los hijos de José. Sus palabras los animan a mirar al futuro con esperanza, como en el tiempo de las promesas de Dios (cf. </w:t>
      </w:r>
      <w:proofErr w:type="spellStart"/>
      <w:r w:rsidRPr="00440D87">
        <w:rPr>
          <w:rFonts w:ascii="Tahoma" w:eastAsia="Times New Roman" w:hAnsi="Tahoma" w:cs="Tahoma"/>
          <w:i/>
          <w:iCs/>
          <w:color w:val="000000"/>
          <w:lang w:eastAsia="es-ES"/>
        </w:rPr>
        <w:t>Gn</w:t>
      </w:r>
      <w:proofErr w:type="spellEnd"/>
      <w:r w:rsidRPr="00440D87">
        <w:rPr>
          <w:rFonts w:ascii="Tahoma" w:eastAsia="Times New Roman" w:hAnsi="Tahoma" w:cs="Tahoma"/>
          <w:color w:val="000000"/>
          <w:lang w:eastAsia="es-ES"/>
        </w:rPr>
        <w:t> 48,8-20). Si, por tanto, es verdad que la fragilidad de los ancianos necesita del vigor de los jóvenes, también es verdad que la inexperiencia de los jóvenes necesita del testimonio de los ancianos para trazar con sabiduría el porvenir. ¡Cuán a menudo nuestros abuelos han sido para nosotros ejemplo de fe y devoción, de virtudes cívicas y compromiso social, de memoria y perseverancia en las pruebas! Este hermoso legado, que nos han transmitido con esperanza y amor, siempre será para nosotros motivo de gratitud y de coherencia.</w:t>
      </w:r>
    </w:p>
    <w:p w14:paraId="61100D75"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i/>
          <w:iCs/>
          <w:color w:val="000000"/>
          <w:lang w:eastAsia="es-ES"/>
        </w:rPr>
        <w:t>Signos de esperanza para los ancianos</w:t>
      </w:r>
    </w:p>
    <w:p w14:paraId="3FE12A07"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El Jubileo, desde sus orígenes bíblicos, ha representado un tiempo de liberación: los esclavos eran liberados, las deudas condonadas, las tierras restituidas a sus propietarios originarios. Era un momento de restauración del orden social querido por Dios, en el cual se reparaban las desigualdades y las opresiones acumuladas con los años. Jesús renueva estos acontecimientos de liberación cuando, en la sinagoga de Nazaret, proclama la buena noticia a los pobres, la vista a los ciegos, la liberación a los cautivos y la libertad a los oprimidos (cf. </w:t>
      </w:r>
      <w:proofErr w:type="spellStart"/>
      <w:r w:rsidRPr="00440D87">
        <w:rPr>
          <w:rFonts w:ascii="Tahoma" w:eastAsia="Times New Roman" w:hAnsi="Tahoma" w:cs="Tahoma"/>
          <w:i/>
          <w:iCs/>
          <w:color w:val="000000"/>
          <w:lang w:eastAsia="es-ES"/>
        </w:rPr>
        <w:t>Lc</w:t>
      </w:r>
      <w:proofErr w:type="spellEnd"/>
      <w:r w:rsidRPr="00440D87">
        <w:rPr>
          <w:rFonts w:ascii="Tahoma" w:eastAsia="Times New Roman" w:hAnsi="Tahoma" w:cs="Tahoma"/>
          <w:color w:val="000000"/>
          <w:lang w:eastAsia="es-ES"/>
        </w:rPr>
        <w:t> 4,16-21).</w:t>
      </w:r>
    </w:p>
    <w:p w14:paraId="3C16374B"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Considerando a las personas ancianas desde esta perspectiva jubilar, también nosotros estamos llamados a vivir con ellas una liberación, sobre todo de la soledad y del abandono. Este año es el momento propicio para realizarla; la fidelidad de Dios a sus promesas nos enseña que hay una bienaventuranza en la ancianidad, una alegría auténticamente evangélica, que nos pide derribar los muros de la indiferencia, que con frecuencia aprisionan a los ancianos. Nuestras sociedades, en todas sus latitudes, se están acostumbrando con demasiada frecuencia a dejar que una parte tan importante y rica de su tejido sea marginada y olvidada.</w:t>
      </w:r>
    </w:p>
    <w:p w14:paraId="3B540F8A"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 xml:space="preserve">Frente a esta situación, es necesario un cambio de ritmo, que </w:t>
      </w:r>
      <w:proofErr w:type="spellStart"/>
      <w:r w:rsidRPr="00440D87">
        <w:rPr>
          <w:rFonts w:ascii="Tahoma" w:eastAsia="Times New Roman" w:hAnsi="Tahoma" w:cs="Tahoma"/>
          <w:color w:val="000000"/>
          <w:lang w:eastAsia="es-ES"/>
        </w:rPr>
        <w:t>atestigue</w:t>
      </w:r>
      <w:proofErr w:type="spellEnd"/>
      <w:r w:rsidRPr="00440D87">
        <w:rPr>
          <w:rFonts w:ascii="Tahoma" w:eastAsia="Times New Roman" w:hAnsi="Tahoma" w:cs="Tahoma"/>
          <w:color w:val="000000"/>
          <w:lang w:eastAsia="es-ES"/>
        </w:rPr>
        <w:t xml:space="preserve"> una asunción de responsabilidad por parte de toda la Iglesia. Cada parroquia, asociación, grupo eclesial está llamado a ser protagonista de la “revolución” de la gratitud y del cuidado, y esto ha de realizarse visitando frecuentemente a los ancianos, creando para ellos y con ellos redes de apoyo y de oración, entretejiendo relaciones que puedan dar esperanza y dignidad al que se siente olvidado. La esperanza cristiana nos impulsa siempre a arriesgar más, a pensar en grande, a no contentarnos con el </w:t>
      </w:r>
      <w:r w:rsidRPr="00440D87">
        <w:rPr>
          <w:rFonts w:ascii="Tahoma" w:eastAsia="Times New Roman" w:hAnsi="Tahoma" w:cs="Tahoma"/>
          <w:i/>
          <w:iCs/>
          <w:color w:val="000000"/>
          <w:lang w:eastAsia="es-ES"/>
        </w:rPr>
        <w:t>statu quo</w:t>
      </w:r>
      <w:r w:rsidRPr="00440D87">
        <w:rPr>
          <w:rFonts w:ascii="Tahoma" w:eastAsia="Times New Roman" w:hAnsi="Tahoma" w:cs="Tahoma"/>
          <w:color w:val="000000"/>
          <w:lang w:eastAsia="es-ES"/>
        </w:rPr>
        <w:t>. En concreto, a trabajar por un cambio que restituya a los ancianos estima y afecto.</w:t>
      </w:r>
    </w:p>
    <w:p w14:paraId="22E4EC10"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Por eso, el </w:t>
      </w:r>
      <w:hyperlink r:id="rId5" w:history="1">
        <w:r w:rsidRPr="00440D87">
          <w:rPr>
            <w:rFonts w:ascii="Tahoma" w:eastAsia="Times New Roman" w:hAnsi="Tahoma" w:cs="Tahoma"/>
            <w:color w:val="663300"/>
            <w:u w:val="single"/>
            <w:lang w:eastAsia="es-ES"/>
          </w:rPr>
          <w:t>Papa Francisco</w:t>
        </w:r>
      </w:hyperlink>
      <w:r w:rsidRPr="00440D87">
        <w:rPr>
          <w:rFonts w:ascii="Tahoma" w:eastAsia="Times New Roman" w:hAnsi="Tahoma" w:cs="Tahoma"/>
          <w:color w:val="000000"/>
          <w:lang w:eastAsia="es-ES"/>
        </w:rPr>
        <w:t> quiso que la </w:t>
      </w:r>
      <w:hyperlink r:id="rId6" w:history="1">
        <w:r w:rsidRPr="00440D87">
          <w:rPr>
            <w:rFonts w:ascii="Tahoma" w:eastAsia="Times New Roman" w:hAnsi="Tahoma" w:cs="Tahoma"/>
            <w:i/>
            <w:iCs/>
            <w:color w:val="663300"/>
            <w:u w:val="single"/>
            <w:lang w:eastAsia="es-ES"/>
          </w:rPr>
          <w:t>Jornada Mundial de los Abuelos y los Mayores</w:t>
        </w:r>
      </w:hyperlink>
      <w:r w:rsidRPr="00440D87">
        <w:rPr>
          <w:rFonts w:ascii="Tahoma" w:eastAsia="Times New Roman" w:hAnsi="Tahoma" w:cs="Tahoma"/>
          <w:color w:val="000000"/>
          <w:lang w:eastAsia="es-ES"/>
        </w:rPr>
        <w:t> se celebrase sobre todo yendo al encuentro de quien está solo. Y por esa misma razón, se ha decidido que quienes no puedan venir a Roma este año, en peregrinación, «podrán conseguir la Indulgencia jubilar si se dirigirán a visitar por un tiempo adecuado a los […] ancianos en soledad, […] como realizando una peregrinación hacia Cristo presente en ellos (cf. </w:t>
      </w:r>
      <w:r w:rsidRPr="00440D87">
        <w:rPr>
          <w:rFonts w:ascii="Tahoma" w:eastAsia="Times New Roman" w:hAnsi="Tahoma" w:cs="Tahoma"/>
          <w:i/>
          <w:iCs/>
          <w:color w:val="000000"/>
          <w:lang w:eastAsia="es-ES"/>
        </w:rPr>
        <w:t>Mt</w:t>
      </w:r>
      <w:r w:rsidRPr="00440D87">
        <w:rPr>
          <w:rFonts w:ascii="Tahoma" w:eastAsia="Times New Roman" w:hAnsi="Tahoma" w:cs="Tahoma"/>
          <w:color w:val="000000"/>
          <w:lang w:eastAsia="es-ES"/>
        </w:rPr>
        <w:t> 25, 34-36)» (</w:t>
      </w:r>
      <w:hyperlink r:id="rId7" w:history="1">
        <w:r w:rsidRPr="00440D87">
          <w:rPr>
            <w:rFonts w:ascii="Tahoma" w:eastAsia="Times New Roman" w:hAnsi="Tahoma" w:cs="Tahoma"/>
            <w:color w:val="663300"/>
            <w:u w:val="single"/>
            <w:lang w:eastAsia="es-ES"/>
          </w:rPr>
          <w:t>Penitenciaría Apostólica</w:t>
        </w:r>
      </w:hyperlink>
      <w:r w:rsidRPr="00440D87">
        <w:rPr>
          <w:rFonts w:ascii="Tahoma" w:eastAsia="Times New Roman" w:hAnsi="Tahoma" w:cs="Tahoma"/>
          <w:color w:val="000000"/>
          <w:lang w:eastAsia="es-ES"/>
        </w:rPr>
        <w:t>, </w:t>
      </w:r>
      <w:hyperlink r:id="rId8" w:history="1">
        <w:r w:rsidRPr="00440D87">
          <w:rPr>
            <w:rFonts w:ascii="Tahoma" w:eastAsia="Times New Roman" w:hAnsi="Tahoma" w:cs="Tahoma"/>
            <w:i/>
            <w:iCs/>
            <w:color w:val="663300"/>
            <w:u w:val="single"/>
            <w:lang w:eastAsia="es-ES"/>
          </w:rPr>
          <w:t>Normas sobre la Concesión de la Indulgencia Jubilar</w:t>
        </w:r>
      </w:hyperlink>
      <w:r w:rsidRPr="00440D87">
        <w:rPr>
          <w:rFonts w:ascii="Tahoma" w:eastAsia="Times New Roman" w:hAnsi="Tahoma" w:cs="Tahoma"/>
          <w:color w:val="000000"/>
          <w:lang w:eastAsia="es-ES"/>
        </w:rPr>
        <w:t xml:space="preserve">, III). Visitar a un </w:t>
      </w:r>
      <w:r w:rsidRPr="00440D87">
        <w:rPr>
          <w:rFonts w:ascii="Tahoma" w:eastAsia="Times New Roman" w:hAnsi="Tahoma" w:cs="Tahoma"/>
          <w:color w:val="000000"/>
          <w:lang w:eastAsia="es-ES"/>
        </w:rPr>
        <w:lastRenderedPageBreak/>
        <w:t>anciano es un modo de encontrarnos con Jesús, que nos libera de la indiferencia y la soledad.</w:t>
      </w:r>
    </w:p>
    <w:p w14:paraId="4340EDDD"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i/>
          <w:iCs/>
          <w:color w:val="000000"/>
          <w:lang w:eastAsia="es-ES"/>
        </w:rPr>
        <w:t>En la vejez se puede esperar</w:t>
      </w:r>
    </w:p>
    <w:p w14:paraId="2CF21F23"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El libro del Eclesiástico afirma </w:t>
      </w:r>
      <w:r w:rsidRPr="00440D87">
        <w:rPr>
          <w:rFonts w:ascii="Tahoma" w:eastAsia="Times New Roman" w:hAnsi="Tahoma" w:cs="Tahoma"/>
          <w:i/>
          <w:iCs/>
          <w:color w:val="000000"/>
          <w:lang w:eastAsia="es-ES"/>
        </w:rPr>
        <w:t>que la bienaventuranza es de aquellos que no ven desvanecerse su esperanza</w:t>
      </w:r>
      <w:r w:rsidRPr="00440D87">
        <w:rPr>
          <w:rFonts w:ascii="Tahoma" w:eastAsia="Times New Roman" w:hAnsi="Tahoma" w:cs="Tahoma"/>
          <w:color w:val="000000"/>
          <w:lang w:eastAsia="es-ES"/>
        </w:rPr>
        <w:t> (cf. 14,2), dejando entender que en nuestra vida —especialmente si es larga— pueden existir muchos motivos para volver la vista atrás, más que hacia el futuro. Sin embargo, como escribió el Papa Francisco durante su último ingreso en el hospital, «nuestro físico está débil, pero, incluso así, nada puede impedirnos amar, rezar, entregarnos, estar los unos para los otros, en la fe, señales luminosas de esperanza» (</w:t>
      </w:r>
      <w:r w:rsidRPr="00440D87">
        <w:rPr>
          <w:rFonts w:ascii="Tahoma" w:eastAsia="Times New Roman" w:hAnsi="Tahoma" w:cs="Tahoma"/>
          <w:i/>
          <w:iCs/>
          <w:color w:val="000000"/>
          <w:lang w:eastAsia="es-ES"/>
        </w:rPr>
        <w:t>Ángelus</w:t>
      </w:r>
      <w:r w:rsidRPr="00440D87">
        <w:rPr>
          <w:rFonts w:ascii="Tahoma" w:eastAsia="Times New Roman" w:hAnsi="Tahoma" w:cs="Tahoma"/>
          <w:color w:val="000000"/>
          <w:lang w:eastAsia="es-ES"/>
        </w:rPr>
        <w:t>, 16 marzo 2025). Tenemos una libertad que ninguna dificultad puede quitarnos: la de amar y rezar. Todos, siempre, podemos amar y rezar.</w:t>
      </w:r>
    </w:p>
    <w:p w14:paraId="5FA1521C"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El amor por nuestros seres queridos —por el cónyuge con quien hemos pasado gran parte de la vida, por los hijos, por los nietos que alegran nuestras jornadas— no se apaga cuando las fuerzas se desvanecen. Al contrario, a menudo ese afecto es precisamente el que reaviva nuestras energías, dándonos esperanza y consuelo.</w:t>
      </w:r>
    </w:p>
    <w:p w14:paraId="4AD7F88D"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Estos signos de vitalidad del amor, que tienen su raíz en Dios mismo, nos dan valentía y nos recuerdan que «aunque nuestro hombre exterior se vaya destruyendo, nuestro hombre interior se va renovando día a día» (</w:t>
      </w:r>
      <w:r w:rsidRPr="00440D87">
        <w:rPr>
          <w:rFonts w:ascii="Tahoma" w:eastAsia="Times New Roman" w:hAnsi="Tahoma" w:cs="Tahoma"/>
          <w:i/>
          <w:iCs/>
          <w:color w:val="000000"/>
          <w:lang w:eastAsia="es-ES"/>
        </w:rPr>
        <w:t>2 Co</w:t>
      </w:r>
      <w:r w:rsidRPr="00440D87">
        <w:rPr>
          <w:rFonts w:ascii="Tahoma" w:eastAsia="Times New Roman" w:hAnsi="Tahoma" w:cs="Tahoma"/>
          <w:color w:val="000000"/>
          <w:lang w:eastAsia="es-ES"/>
        </w:rPr>
        <w:t> 4,16). Por eso, especialmente en la vejez, perseveremos confiados en el Señor. Dejémonos renovar cada día por el encuentro con Él, en la oración y en la Santa Misa. Transmitamos con amor la fe que hemos vivido durante tantos años, en la familia y en los encuentros cotidianos; alabemos siempre a Dios por su benevolencia, cultivemos la unidad con nuestros seres queridos, que nuestro corazón abarque al que está más lejos y, en particular, a quien vive en una situación de necesidad. Seremos signos de esperanza, a cualquier edad.</w:t>
      </w:r>
    </w:p>
    <w:p w14:paraId="5A672724"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color w:val="000000"/>
          <w:lang w:eastAsia="es-ES"/>
        </w:rPr>
        <w:t> </w:t>
      </w:r>
    </w:p>
    <w:p w14:paraId="42557BD3" w14:textId="77777777" w:rsidR="00440D87" w:rsidRPr="00440D87" w:rsidRDefault="00440D87" w:rsidP="00440D87">
      <w:pPr>
        <w:shd w:val="clear" w:color="auto" w:fill="FFFFFF"/>
        <w:spacing w:before="100" w:beforeAutospacing="1" w:after="100" w:afterAutospacing="1" w:line="240" w:lineRule="auto"/>
        <w:rPr>
          <w:rFonts w:ascii="Tahoma" w:eastAsia="Times New Roman" w:hAnsi="Tahoma" w:cs="Tahoma"/>
          <w:color w:val="000000"/>
          <w:lang w:eastAsia="es-ES"/>
        </w:rPr>
      </w:pPr>
      <w:r w:rsidRPr="00440D87">
        <w:rPr>
          <w:rFonts w:ascii="Tahoma" w:eastAsia="Times New Roman" w:hAnsi="Tahoma" w:cs="Tahoma"/>
          <w:i/>
          <w:iCs/>
          <w:color w:val="000000"/>
          <w:lang w:eastAsia="es-ES"/>
        </w:rPr>
        <w:t>Vaticano, 26 de junio de 2025</w:t>
      </w:r>
    </w:p>
    <w:p w14:paraId="3D7ECBDD" w14:textId="77777777" w:rsidR="00D4150D" w:rsidRDefault="00D4150D"/>
    <w:sectPr w:rsidR="00D415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F8"/>
    <w:rsid w:val="000E02A2"/>
    <w:rsid w:val="00291981"/>
    <w:rsid w:val="00440D87"/>
    <w:rsid w:val="005F24F8"/>
    <w:rsid w:val="00D4150D"/>
    <w:rsid w:val="00E03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6A1C"/>
  <w15:chartTrackingRefBased/>
  <w15:docId w15:val="{5260A5ED-C492-41B2-8BBC-21C5B4EE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2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2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24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24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24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24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24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24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24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24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24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24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24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24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24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24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24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24F8"/>
    <w:rPr>
      <w:rFonts w:eastAsiaTheme="majorEastAsia" w:cstheme="majorBidi"/>
      <w:color w:val="272727" w:themeColor="text1" w:themeTint="D8"/>
    </w:rPr>
  </w:style>
  <w:style w:type="paragraph" w:styleId="Ttulo">
    <w:name w:val="Title"/>
    <w:basedOn w:val="Normal"/>
    <w:next w:val="Normal"/>
    <w:link w:val="TtuloCar"/>
    <w:uiPriority w:val="10"/>
    <w:qFormat/>
    <w:rsid w:val="005F2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24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24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24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24F8"/>
    <w:pPr>
      <w:spacing w:before="160"/>
      <w:jc w:val="center"/>
    </w:pPr>
    <w:rPr>
      <w:i/>
      <w:iCs/>
      <w:color w:val="404040" w:themeColor="text1" w:themeTint="BF"/>
    </w:rPr>
  </w:style>
  <w:style w:type="character" w:customStyle="1" w:styleId="CitaCar">
    <w:name w:val="Cita Car"/>
    <w:basedOn w:val="Fuentedeprrafopredeter"/>
    <w:link w:val="Cita"/>
    <w:uiPriority w:val="29"/>
    <w:rsid w:val="005F24F8"/>
    <w:rPr>
      <w:i/>
      <w:iCs/>
      <w:color w:val="404040" w:themeColor="text1" w:themeTint="BF"/>
    </w:rPr>
  </w:style>
  <w:style w:type="paragraph" w:styleId="Prrafodelista">
    <w:name w:val="List Paragraph"/>
    <w:basedOn w:val="Normal"/>
    <w:uiPriority w:val="34"/>
    <w:qFormat/>
    <w:rsid w:val="005F24F8"/>
    <w:pPr>
      <w:ind w:left="720"/>
      <w:contextualSpacing/>
    </w:pPr>
  </w:style>
  <w:style w:type="character" w:styleId="nfasisintenso">
    <w:name w:val="Intense Emphasis"/>
    <w:basedOn w:val="Fuentedeprrafopredeter"/>
    <w:uiPriority w:val="21"/>
    <w:qFormat/>
    <w:rsid w:val="005F24F8"/>
    <w:rPr>
      <w:i/>
      <w:iCs/>
      <w:color w:val="0F4761" w:themeColor="accent1" w:themeShade="BF"/>
    </w:rPr>
  </w:style>
  <w:style w:type="paragraph" w:styleId="Citadestacada">
    <w:name w:val="Intense Quote"/>
    <w:basedOn w:val="Normal"/>
    <w:next w:val="Normal"/>
    <w:link w:val="CitadestacadaCar"/>
    <w:uiPriority w:val="30"/>
    <w:qFormat/>
    <w:rsid w:val="005F2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24F8"/>
    <w:rPr>
      <w:i/>
      <w:iCs/>
      <w:color w:val="0F4761" w:themeColor="accent1" w:themeShade="BF"/>
    </w:rPr>
  </w:style>
  <w:style w:type="character" w:styleId="Referenciaintensa">
    <w:name w:val="Intense Reference"/>
    <w:basedOn w:val="Fuentedeprrafopredeter"/>
    <w:uiPriority w:val="32"/>
    <w:qFormat/>
    <w:rsid w:val="005F24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53208">
      <w:bodyDiv w:val="1"/>
      <w:marLeft w:val="0"/>
      <w:marRight w:val="0"/>
      <w:marTop w:val="0"/>
      <w:marBottom w:val="0"/>
      <w:divBdr>
        <w:top w:val="none" w:sz="0" w:space="0" w:color="auto"/>
        <w:left w:val="none" w:sz="0" w:space="0" w:color="auto"/>
        <w:bottom w:val="none" w:sz="0" w:space="0" w:color="auto"/>
        <w:right w:val="none" w:sz="0" w:space="0" w:color="auto"/>
      </w:divBdr>
      <w:divsChild>
        <w:div w:id="1224218406">
          <w:marLeft w:val="0"/>
          <w:marRight w:val="0"/>
          <w:marTop w:val="0"/>
          <w:marBottom w:val="0"/>
          <w:divBdr>
            <w:top w:val="none" w:sz="0" w:space="0" w:color="auto"/>
            <w:left w:val="none" w:sz="0" w:space="0" w:color="auto"/>
            <w:bottom w:val="none" w:sz="0" w:space="0" w:color="auto"/>
            <w:right w:val="none" w:sz="0" w:space="0" w:color="auto"/>
          </w:divBdr>
          <w:divsChild>
            <w:div w:id="121265781">
              <w:marLeft w:val="0"/>
              <w:marRight w:val="0"/>
              <w:marTop w:val="0"/>
              <w:marBottom w:val="0"/>
              <w:divBdr>
                <w:top w:val="none" w:sz="0" w:space="0" w:color="auto"/>
                <w:left w:val="none" w:sz="0" w:space="0" w:color="auto"/>
                <w:bottom w:val="none" w:sz="0" w:space="0" w:color="auto"/>
                <w:right w:val="none" w:sz="0" w:space="0" w:color="auto"/>
              </w:divBdr>
            </w:div>
          </w:divsChild>
        </w:div>
        <w:div w:id="1441872908">
          <w:marLeft w:val="0"/>
          <w:marRight w:val="0"/>
          <w:marTop w:val="0"/>
          <w:marBottom w:val="0"/>
          <w:divBdr>
            <w:top w:val="none" w:sz="0" w:space="0" w:color="auto"/>
            <w:left w:val="none" w:sz="0" w:space="0" w:color="auto"/>
            <w:bottom w:val="none" w:sz="0" w:space="0" w:color="auto"/>
            <w:right w:val="none" w:sz="0" w:space="0" w:color="auto"/>
          </w:divBdr>
          <w:divsChild>
            <w:div w:id="4256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romancuria/es/organismi-di-giustizia/penitenzieria-apostolica.index.html" TargetMode="External"/><Relationship Id="rId3" Type="http://schemas.openxmlformats.org/officeDocument/2006/relationships/webSettings" Target="webSettings.xml"/><Relationship Id="rId7" Type="http://schemas.openxmlformats.org/officeDocument/2006/relationships/hyperlink" Target="https://www.vatican.va/content/romancuria/es/organismi-di-giustizia/penitenzieria-apostolica.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s/messages/nonni.index.html" TargetMode="External"/><Relationship Id="rId5" Type="http://schemas.openxmlformats.org/officeDocument/2006/relationships/hyperlink" Target="https://www.vatican.va/content/vatican/es/holy-father/francesco.html" TargetMode="External"/><Relationship Id="rId10" Type="http://schemas.openxmlformats.org/officeDocument/2006/relationships/theme" Target="theme/theme1.xml"/><Relationship Id="rId4" Type="http://schemas.openxmlformats.org/officeDocument/2006/relationships/hyperlink" Target="https://www.iubilaeum2025.va/es.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7383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Iiturrioz</dc:creator>
  <cp:keywords/>
  <dc:description/>
  <cp:lastModifiedBy>Iiturrioz</cp:lastModifiedBy>
  <cp:revision>2</cp:revision>
  <dcterms:created xsi:type="dcterms:W3CDTF">2025-07-14T12:04:00Z</dcterms:created>
  <dcterms:modified xsi:type="dcterms:W3CDTF">2025-07-14T12:05:00Z</dcterms:modified>
</cp:coreProperties>
</file>